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0C785C">
      <w:pPr>
        <w:pStyle w:val="Style1"/>
        <w:widowControl/>
        <w:spacing w:before="106" w:line="274" w:lineRule="exact"/>
        <w:ind w:left="346"/>
        <w:jc w:val="right"/>
        <w:rPr>
          <w:rStyle w:val="FontStyle57"/>
          <w:sz w:val="24"/>
          <w:szCs w:val="24"/>
        </w:rPr>
      </w:pPr>
      <w:r w:rsidRPr="00301207">
        <w:rPr>
          <w:rStyle w:val="FontStyle57"/>
          <w:sz w:val="24"/>
          <w:szCs w:val="24"/>
        </w:rPr>
        <w:t>Приложение № 5</w:t>
      </w:r>
    </w:p>
    <w:p w:rsidR="0041305D" w:rsidRPr="00301207" w:rsidRDefault="0041305D" w:rsidP="0041305D">
      <w:pPr>
        <w:widowControl/>
        <w:autoSpaceDE/>
        <w:autoSpaceDN/>
        <w:adjustRightInd/>
        <w:spacing w:line="240" w:lineRule="atLeast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Pr="00301207" w:rsidRDefault="0041305D" w:rsidP="0041305D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ED6CD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ED6CD6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ED6CD6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ED6CD6" w:rsidRPr="00301207" w:rsidRDefault="00ED6CD6" w:rsidP="00ED6CD6">
      <w:pPr>
        <w:widowControl/>
        <w:autoSpaceDE/>
        <w:autoSpaceDN/>
        <w:adjustRightInd/>
        <w:spacing w:line="240" w:lineRule="atLeast"/>
        <w:rPr>
          <w:rFonts w:eastAsia="Times New Roman"/>
          <w:b/>
          <w:caps/>
        </w:rPr>
      </w:pPr>
    </w:p>
    <w:p w:rsidR="00ED6CD6" w:rsidRPr="00301207" w:rsidRDefault="00ED6CD6" w:rsidP="00ED6CD6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301207">
        <w:rPr>
          <w:rFonts w:eastAsia="Times New Roman"/>
          <w:b/>
          <w:caps/>
          <w:lang w:val="en-US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Pr="00301207" w:rsidRDefault="00ED6CD6" w:rsidP="00ED6CD6">
      <w:pPr>
        <w:spacing w:line="240" w:lineRule="atLeast"/>
      </w:pPr>
    </w:p>
    <w:p w:rsidR="00ED6CD6" w:rsidRPr="00301207" w:rsidRDefault="00ED6CD6" w:rsidP="00ED6CD6">
      <w:pPr>
        <w:spacing w:line="360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ED6CD6">
      <w:pPr>
        <w:spacing w:line="360" w:lineRule="auto"/>
        <w:contextualSpacing/>
      </w:pPr>
      <w:r w:rsidRPr="00301207">
        <w:t>София, пл. „Народно събрание“ № 2</w:t>
      </w:r>
    </w:p>
    <w:p w:rsidR="00ED6CD6" w:rsidRPr="00301207" w:rsidRDefault="00ED6CD6" w:rsidP="00ED6CD6">
      <w:pPr>
        <w:widowControl/>
        <w:spacing w:line="360" w:lineRule="auto"/>
        <w:ind w:firstLine="562"/>
        <w:contextualSpacing/>
        <w:jc w:val="both"/>
      </w:pPr>
    </w:p>
    <w:p w:rsidR="00ED6CD6" w:rsidRPr="00301207" w:rsidRDefault="00ED6CD6" w:rsidP="00ED6CD6">
      <w:pPr>
        <w:widowControl/>
        <w:spacing w:line="360" w:lineRule="auto"/>
        <w:ind w:firstLine="562"/>
        <w:contextualSpacing/>
        <w:jc w:val="both"/>
      </w:pPr>
    </w:p>
    <w:p w:rsidR="00ED6CD6" w:rsidRPr="00301207" w:rsidRDefault="00ED6CD6" w:rsidP="00ED6CD6">
      <w:pPr>
        <w:ind w:firstLine="708"/>
        <w:jc w:val="both"/>
        <w:rPr>
          <w:rFonts w:eastAsiaTheme="minorHAnsi"/>
          <w:lang w:eastAsia="en-US"/>
        </w:rPr>
      </w:pPr>
      <w:r w:rsidRPr="00301207">
        <w:tab/>
      </w:r>
      <w:r w:rsidR="00301207" w:rsidRPr="00301207">
        <w:t xml:space="preserve">След като се запознах(ме) с обява за възлагане на обществената поръчка с предмет: </w:t>
      </w:r>
      <w:r w:rsidR="00301207" w:rsidRPr="00301207">
        <w:rPr>
          <w:i/>
        </w:rPr>
        <w:t>„Извънгаранционно сервизно обслужване и ремонт на рентгенови системи и рамкови метал-детектори, намиращи се в сградите на Народното събрание“</w:t>
      </w:r>
      <w:r w:rsidR="00301207" w:rsidRPr="00301207">
        <w:t>, публикувана на „Профила на купувача“ на интернет страницата на Народното събрание, както и с документацията към обявата,</w:t>
      </w:r>
      <w:r w:rsidRPr="00301207">
        <w:t xml:space="preserve"> подписаният(те), представляващ(и) и управляващ(и) </w:t>
      </w:r>
    </w:p>
    <w:p w:rsidR="00ED6CD6" w:rsidRPr="00301207" w:rsidRDefault="00ED6CD6" w:rsidP="00ED6CD6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301207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ED6CD6" w:rsidRPr="00301207" w:rsidRDefault="00ED6CD6" w:rsidP="00ED6CD6">
      <w:pPr>
        <w:widowControl/>
        <w:tabs>
          <w:tab w:val="left" w:pos="0"/>
        </w:tabs>
        <w:spacing w:before="216" w:line="360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301207" w:rsidRDefault="00ED6CD6" w:rsidP="00ED6CD6">
      <w:pPr>
        <w:widowControl/>
        <w:tabs>
          <w:tab w:val="left" w:pos="1632"/>
          <w:tab w:val="left" w:pos="4123"/>
          <w:tab w:val="left" w:pos="6686"/>
          <w:tab w:val="left" w:pos="7550"/>
        </w:tabs>
        <w:spacing w:before="216" w:line="360" w:lineRule="auto"/>
        <w:ind w:firstLine="562"/>
        <w:contextualSpacing/>
        <w:jc w:val="both"/>
      </w:pPr>
    </w:p>
    <w:p w:rsidR="00ED6CD6" w:rsidRPr="00301207" w:rsidRDefault="008E5922" w:rsidP="00ED6CD6">
      <w:pPr>
        <w:pStyle w:val="Style39"/>
        <w:widowControl/>
        <w:numPr>
          <w:ilvl w:val="0"/>
          <w:numId w:val="3"/>
        </w:numPr>
        <w:tabs>
          <w:tab w:val="left" w:pos="993"/>
        </w:tabs>
        <w:spacing w:before="5" w:line="360" w:lineRule="auto"/>
        <w:ind w:left="0" w:firstLine="710"/>
        <w:contextualSpacing/>
        <w:rPr>
          <w:rStyle w:val="FontStyle58"/>
          <w:sz w:val="24"/>
          <w:szCs w:val="24"/>
        </w:rPr>
      </w:pPr>
      <w:r w:rsidRPr="00301207">
        <w:rPr>
          <w:bCs/>
        </w:rPr>
        <w:t xml:space="preserve">Предлаганите от нас единични цени за изпълнение на </w:t>
      </w:r>
      <w:r w:rsidRPr="00301207">
        <w:t xml:space="preserve">превантивно техническо обслужване (ПТО) и общ </w:t>
      </w:r>
      <w:proofErr w:type="spellStart"/>
      <w:r w:rsidRPr="00301207">
        <w:t>дозиметричен</w:t>
      </w:r>
      <w:proofErr w:type="spellEnd"/>
      <w:r w:rsidRPr="00301207">
        <w:t xml:space="preserve"> контрол (ОДК) за</w:t>
      </w:r>
      <w:r w:rsidRPr="00301207">
        <w:rPr>
          <w:bCs/>
        </w:rPr>
        <w:t xml:space="preserve"> отделните рентгенови системи и рамкови метал-детектори, </w:t>
      </w:r>
      <w:r w:rsidRPr="00301207">
        <w:t xml:space="preserve">както и общата цена (стойност) за ПТО и ОДК </w:t>
      </w:r>
      <w:r w:rsidRPr="00301207">
        <w:rPr>
          <w:rStyle w:val="FontStyle58"/>
          <w:sz w:val="24"/>
          <w:szCs w:val="24"/>
        </w:rPr>
        <w:t>са</w:t>
      </w:r>
      <w:r w:rsidR="00301207">
        <w:rPr>
          <w:rStyle w:val="FontStyle58"/>
          <w:sz w:val="24"/>
          <w:szCs w:val="24"/>
          <w:lang w:val="en-US"/>
        </w:rPr>
        <w:t>,</w:t>
      </w:r>
      <w:r w:rsidRPr="00301207">
        <w:rPr>
          <w:rStyle w:val="FontStyle58"/>
          <w:sz w:val="24"/>
          <w:szCs w:val="24"/>
        </w:rPr>
        <w:t xml:space="preserve"> както следва:</w:t>
      </w:r>
    </w:p>
    <w:p w:rsidR="00ED6CD6" w:rsidRPr="00301207" w:rsidRDefault="00ED6CD6" w:rsidP="00ED6CD6">
      <w:pPr>
        <w:pStyle w:val="Style39"/>
        <w:widowControl/>
        <w:tabs>
          <w:tab w:val="left" w:pos="993"/>
        </w:tabs>
        <w:spacing w:before="5" w:line="360" w:lineRule="auto"/>
        <w:ind w:left="710" w:firstLine="0"/>
        <w:contextualSpacing/>
        <w:rPr>
          <w:rStyle w:val="FontStyle58"/>
          <w:sz w:val="24"/>
          <w:szCs w:val="24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476"/>
        <w:gridCol w:w="1566"/>
        <w:gridCol w:w="1559"/>
        <w:gridCol w:w="1843"/>
      </w:tblGrid>
      <w:tr w:rsidR="00382E0A" w:rsidRPr="00382E0A" w:rsidTr="002E1392">
        <w:trPr>
          <w:trHeight w:val="1276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КОЛИ-ЧЕСТВО на ПТО и ОДК за 1 година за броя машини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 xml:space="preserve">ЕДИНИЧНА  ЦЕНА за ПТО и ОДК </w:t>
            </w:r>
          </w:p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/в лв. без ДДС/</w:t>
            </w:r>
            <w:r w:rsidR="00623891">
              <w:rPr>
                <w:rFonts w:eastAsia="Times New Roman"/>
                <w:b/>
                <w:bCs/>
                <w:sz w:val="20"/>
                <w:szCs w:val="20"/>
              </w:rPr>
              <w:t xml:space="preserve"> за 1 брой машина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СТОЙНОСТ на ПТО и ОДК  за 1 година</w:t>
            </w:r>
          </w:p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82E0A">
              <w:rPr>
                <w:rFonts w:eastAsia="Times New Roman"/>
                <w:b/>
                <w:bCs/>
                <w:sz w:val="20"/>
                <w:szCs w:val="20"/>
              </w:rPr>
              <w:t>/в лв. без ДДС/</w:t>
            </w:r>
          </w:p>
        </w:tc>
      </w:tr>
      <w:tr w:rsidR="00382E0A" w:rsidRPr="00382E0A" w:rsidTr="002E1392">
        <w:trPr>
          <w:trHeight w:val="335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2E0A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382E0A" w:rsidRPr="00382E0A" w:rsidTr="002E1392">
        <w:trPr>
          <w:trHeight w:val="511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ok" w:eastAsia="Times New Roman" w:hAnsi="Timok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 xml:space="preserve">Рентгенова система </w:t>
            </w:r>
            <w:r w:rsidRPr="00382E0A">
              <w:rPr>
                <w:rFonts w:eastAsia="Times New Roman"/>
                <w:sz w:val="20"/>
                <w:szCs w:val="20"/>
                <w:lang w:val="en-GB"/>
              </w:rPr>
              <w:t>Hi-Scan</w:t>
            </w:r>
            <w:r w:rsidRPr="00382E0A">
              <w:rPr>
                <w:rFonts w:eastAsia="Times New Roman"/>
                <w:sz w:val="20"/>
                <w:szCs w:val="20"/>
              </w:rPr>
              <w:t xml:space="preserve"> 6040A – 2 бр., </w:t>
            </w:r>
            <w:proofErr w:type="spellStart"/>
            <w:r w:rsidRPr="00382E0A">
              <w:rPr>
                <w:rFonts w:eastAsia="Times New Roman"/>
                <w:sz w:val="20"/>
                <w:szCs w:val="20"/>
              </w:rPr>
              <w:t>сер</w:t>
            </w:r>
            <w:proofErr w:type="spellEnd"/>
            <w:r w:rsidRPr="00382E0A">
              <w:rPr>
                <w:rFonts w:eastAsia="Times New Roman"/>
                <w:sz w:val="20"/>
                <w:szCs w:val="20"/>
              </w:rPr>
              <w:t>.№ 16728, 16729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ok" w:eastAsia="Times New Roman" w:hAnsi="Timok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 xml:space="preserve">Рентгенова система </w:t>
            </w:r>
            <w:r w:rsidRPr="00382E0A">
              <w:rPr>
                <w:rFonts w:eastAsia="Times New Roman"/>
                <w:sz w:val="20"/>
                <w:szCs w:val="20"/>
                <w:lang w:val="en-GB"/>
              </w:rPr>
              <w:t>Hi-Scan</w:t>
            </w:r>
            <w:r w:rsidRPr="00382E0A">
              <w:rPr>
                <w:rFonts w:eastAsia="Times New Roman"/>
                <w:sz w:val="20"/>
                <w:szCs w:val="20"/>
              </w:rPr>
              <w:t xml:space="preserve"> 6046si – 4 бр., </w:t>
            </w:r>
            <w:proofErr w:type="spellStart"/>
            <w:r w:rsidRPr="00382E0A">
              <w:rPr>
                <w:rFonts w:eastAsia="Times New Roman"/>
                <w:sz w:val="20"/>
                <w:szCs w:val="20"/>
              </w:rPr>
              <w:t>сер</w:t>
            </w:r>
            <w:proofErr w:type="spellEnd"/>
            <w:r w:rsidRPr="00382E0A">
              <w:rPr>
                <w:rFonts w:eastAsia="Times New Roman"/>
                <w:sz w:val="20"/>
                <w:szCs w:val="20"/>
              </w:rPr>
              <w:t>.№  77092,77093, 77094, 77095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ok" w:eastAsia="Times New Roman" w:hAnsi="Timok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 xml:space="preserve">Рентгенова система </w:t>
            </w:r>
            <w:r w:rsidRPr="00382E0A">
              <w:rPr>
                <w:rFonts w:eastAsia="Times New Roman"/>
                <w:sz w:val="20"/>
                <w:szCs w:val="20"/>
                <w:lang w:val="en-GB"/>
              </w:rPr>
              <w:t>Hi-Scan</w:t>
            </w:r>
            <w:r w:rsidRPr="00382E0A">
              <w:rPr>
                <w:rFonts w:eastAsia="Times New Roman"/>
                <w:sz w:val="20"/>
                <w:szCs w:val="20"/>
              </w:rPr>
              <w:t xml:space="preserve"> 7555si – 2 бр., </w:t>
            </w:r>
            <w:proofErr w:type="spellStart"/>
            <w:r w:rsidRPr="00382E0A">
              <w:rPr>
                <w:rFonts w:eastAsia="Times New Roman"/>
                <w:sz w:val="20"/>
                <w:szCs w:val="20"/>
              </w:rPr>
              <w:t>сер</w:t>
            </w:r>
            <w:proofErr w:type="spellEnd"/>
            <w:r w:rsidRPr="00382E0A">
              <w:rPr>
                <w:rFonts w:eastAsia="Times New Roman"/>
                <w:sz w:val="20"/>
                <w:szCs w:val="20"/>
              </w:rPr>
              <w:t xml:space="preserve"> №  76997, 76998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 xml:space="preserve">Метал-детекторна рамка </w:t>
            </w:r>
            <w:r w:rsidRPr="00382E0A">
              <w:rPr>
                <w:rFonts w:eastAsia="Times New Roman"/>
                <w:sz w:val="20"/>
                <w:szCs w:val="20"/>
                <w:lang w:val="en-GB"/>
              </w:rPr>
              <w:t>Hi PE Multi Zone –</w:t>
            </w:r>
            <w:r w:rsidRPr="00382E0A">
              <w:rPr>
                <w:rFonts w:eastAsia="Times New Roman"/>
                <w:sz w:val="20"/>
                <w:szCs w:val="20"/>
              </w:rPr>
              <w:t xml:space="preserve"> 6 бр., </w:t>
            </w:r>
            <w:proofErr w:type="spellStart"/>
            <w:r w:rsidRPr="00382E0A">
              <w:rPr>
                <w:rFonts w:eastAsia="Times New Roman"/>
                <w:sz w:val="20"/>
                <w:szCs w:val="20"/>
              </w:rPr>
              <w:t>сер</w:t>
            </w:r>
            <w:proofErr w:type="spellEnd"/>
            <w:r w:rsidRPr="00382E0A">
              <w:rPr>
                <w:rFonts w:eastAsia="Times New Roman"/>
                <w:sz w:val="20"/>
                <w:szCs w:val="20"/>
              </w:rPr>
              <w:t xml:space="preserve">. № 20806006017, </w:t>
            </w:r>
            <w:proofErr w:type="spellStart"/>
            <w:r w:rsidRPr="00382E0A">
              <w:rPr>
                <w:rFonts w:eastAsia="Times New Roman"/>
                <w:sz w:val="20"/>
                <w:szCs w:val="20"/>
              </w:rPr>
              <w:t>20806006017</w:t>
            </w:r>
            <w:proofErr w:type="spellEnd"/>
            <w:r w:rsidRPr="00382E0A">
              <w:rPr>
                <w:rFonts w:eastAsia="Times New Roman"/>
                <w:sz w:val="20"/>
                <w:szCs w:val="20"/>
              </w:rPr>
              <w:t>, 20806006018, 20806006020, 20806006021, 20806006022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5 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 xml:space="preserve">Метал-детекторна рамка PMD 2/PTZ – 2 бр., </w:t>
            </w:r>
            <w:proofErr w:type="spellStart"/>
            <w:r w:rsidRPr="00382E0A">
              <w:rPr>
                <w:rFonts w:eastAsia="Times New Roman"/>
                <w:sz w:val="20"/>
                <w:szCs w:val="20"/>
              </w:rPr>
              <w:t>сер</w:t>
            </w:r>
            <w:proofErr w:type="spellEnd"/>
            <w:r w:rsidRPr="00382E0A">
              <w:rPr>
                <w:rFonts w:eastAsia="Times New Roman"/>
                <w:sz w:val="20"/>
                <w:szCs w:val="20"/>
              </w:rPr>
              <w:t>. № 9864214, 9864215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382E0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82E0A" w:rsidRPr="00382E0A" w:rsidTr="002E1392">
        <w:trPr>
          <w:trHeight w:val="357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623891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eastAsia="Times New Roman"/>
                <w:b/>
              </w:rPr>
            </w:pPr>
            <w:r w:rsidRPr="00382E0A">
              <w:rPr>
                <w:rFonts w:eastAsia="Times New Roman"/>
                <w:b/>
              </w:rPr>
              <w:t>ОБЩА СУМА</w:t>
            </w:r>
            <w:r w:rsidR="00623891">
              <w:rPr>
                <w:rStyle w:val="FootnoteReference"/>
                <w:rFonts w:eastAsia="Times New Roman"/>
                <w:b/>
              </w:rPr>
              <w:footnoteReference w:id="1"/>
            </w:r>
            <w:r w:rsidRPr="00382E0A">
              <w:rPr>
                <w:rFonts w:eastAsia="Times New Roman"/>
                <w:b/>
              </w:rPr>
              <w:t>без ДДС: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E0A" w:rsidRPr="00382E0A" w:rsidRDefault="00382E0A" w:rsidP="00382E0A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b/>
              </w:rPr>
            </w:pPr>
          </w:p>
        </w:tc>
      </w:tr>
    </w:tbl>
    <w:p w:rsidR="00ED6CD6" w:rsidRPr="00301207" w:rsidRDefault="008E5922" w:rsidP="008E5922">
      <w:pPr>
        <w:pStyle w:val="Style39"/>
        <w:widowControl/>
        <w:numPr>
          <w:ilvl w:val="0"/>
          <w:numId w:val="3"/>
        </w:numPr>
        <w:tabs>
          <w:tab w:val="left" w:pos="567"/>
        </w:tabs>
        <w:spacing w:before="5" w:line="360" w:lineRule="auto"/>
        <w:ind w:left="0" w:firstLine="0"/>
        <w:contextualSpacing/>
      </w:pPr>
      <w:r w:rsidRPr="00301207">
        <w:lastRenderedPageBreak/>
        <w:t xml:space="preserve">В посочените по т. 1 единични цени </w:t>
      </w:r>
      <w:r w:rsidRPr="00301207">
        <w:rPr>
          <w:bCs/>
        </w:rPr>
        <w:t>са включени всички разходи за изпълнение на услугите</w:t>
      </w:r>
      <w:r w:rsidRPr="00301207">
        <w:t xml:space="preserve"> по </w:t>
      </w:r>
      <w:r w:rsidRPr="00301207">
        <w:rPr>
          <w:bCs/>
        </w:rPr>
        <w:t xml:space="preserve">превантивното техническо обслужване (ПТО) и общ </w:t>
      </w:r>
      <w:proofErr w:type="spellStart"/>
      <w:r w:rsidRPr="00301207">
        <w:rPr>
          <w:bCs/>
        </w:rPr>
        <w:t>дозиметричен</w:t>
      </w:r>
      <w:proofErr w:type="spellEnd"/>
      <w:r w:rsidRPr="00301207">
        <w:rPr>
          <w:bCs/>
        </w:rPr>
        <w:t xml:space="preserve"> контрол (ОДК), включително и разходите за сервизния екип, който ще изпълнява поръчката, и/или на членовете на ръководния състав, които ще отговарят за изпълнението [и за неговите подизпълнители] (</w:t>
      </w:r>
      <w:r w:rsidRPr="00301207">
        <w:rPr>
          <w:bCs/>
          <w:i/>
        </w:rPr>
        <w:t>ако е приложимо</w:t>
      </w:r>
      <w:r w:rsidRPr="00301207">
        <w:rPr>
          <w:bCs/>
        </w:rPr>
        <w:t>), като ВЪЗЛОЖИТЕЛЯТ не дължи заплащането на каквито и да е други разноски</w:t>
      </w:r>
      <w:r w:rsidRPr="00301207">
        <w:t>.</w:t>
      </w:r>
    </w:p>
    <w:p w:rsidR="008E5922" w:rsidRPr="00301207" w:rsidRDefault="00623891" w:rsidP="008E5922">
      <w:pPr>
        <w:pStyle w:val="Style39"/>
        <w:widowControl/>
        <w:tabs>
          <w:tab w:val="left" w:pos="567"/>
        </w:tabs>
        <w:spacing w:before="5" w:line="360" w:lineRule="auto"/>
        <w:ind w:firstLine="0"/>
        <w:contextualSpacing/>
      </w:pPr>
      <w:r>
        <w:rPr>
          <w:b/>
        </w:rPr>
        <w:t>3</w:t>
      </w:r>
      <w:r w:rsidR="008E5922" w:rsidRPr="00301207">
        <w:rPr>
          <w:b/>
        </w:rPr>
        <w:t>.</w:t>
      </w:r>
      <w:r w:rsidR="008E5922" w:rsidRPr="00301207">
        <w:rPr>
          <w:b/>
        </w:rPr>
        <w:tab/>
      </w:r>
      <w:r>
        <w:t>П</w:t>
      </w:r>
      <w:r w:rsidRPr="00623891">
        <w:t>ри необходимост след получена заявка от страна на възложителя</w:t>
      </w:r>
      <w:r w:rsidRPr="00623891">
        <w:rPr>
          <w:lang w:val="en-US"/>
        </w:rPr>
        <w:t xml:space="preserve"> </w:t>
      </w:r>
      <w:proofErr w:type="spellStart"/>
      <w:r w:rsidR="008E5922" w:rsidRPr="00301207">
        <w:rPr>
          <w:lang w:val="en-US"/>
        </w:rPr>
        <w:t>сервиз</w:t>
      </w:r>
      <w:r w:rsidR="008E5922" w:rsidRPr="00301207">
        <w:t>ен</w:t>
      </w:r>
      <w:proofErr w:type="spellEnd"/>
      <w:r w:rsidR="008E5922" w:rsidRPr="00301207">
        <w:rPr>
          <w:lang w:val="en-US"/>
        </w:rPr>
        <w:t xml:space="preserve"> </w:t>
      </w:r>
      <w:proofErr w:type="spellStart"/>
      <w:r w:rsidR="008E5922" w:rsidRPr="00301207">
        <w:rPr>
          <w:lang w:val="en-US"/>
        </w:rPr>
        <w:t>екип</w:t>
      </w:r>
      <w:proofErr w:type="spellEnd"/>
      <w:r w:rsidR="008E5922" w:rsidRPr="00301207">
        <w:t xml:space="preserve"> </w:t>
      </w:r>
      <w:r>
        <w:t>ще</w:t>
      </w:r>
      <w:r w:rsidR="008E5922" w:rsidRPr="00301207">
        <w:rPr>
          <w:lang w:val="en-US"/>
        </w:rPr>
        <w:t xml:space="preserve"> </w:t>
      </w:r>
      <w:r w:rsidR="008E5922" w:rsidRPr="00301207">
        <w:t xml:space="preserve">осъществява </w:t>
      </w:r>
      <w:proofErr w:type="spellStart"/>
      <w:r w:rsidR="008E5922" w:rsidRPr="00301207">
        <w:rPr>
          <w:lang w:val="en-US"/>
        </w:rPr>
        <w:t>диагностика</w:t>
      </w:r>
      <w:proofErr w:type="spellEnd"/>
      <w:r w:rsidR="008E5922" w:rsidRPr="00301207">
        <w:rPr>
          <w:lang w:val="en-US"/>
        </w:rPr>
        <w:t xml:space="preserve">, </w:t>
      </w:r>
      <w:proofErr w:type="spellStart"/>
      <w:r w:rsidR="008E5922" w:rsidRPr="00301207">
        <w:rPr>
          <w:lang w:val="en-US"/>
        </w:rPr>
        <w:t>ремонт</w:t>
      </w:r>
      <w:proofErr w:type="spellEnd"/>
      <w:r w:rsidR="008E5922" w:rsidRPr="00301207">
        <w:rPr>
          <w:lang w:val="en-US"/>
        </w:rPr>
        <w:t xml:space="preserve"> и</w:t>
      </w:r>
      <w:r w:rsidR="008E5922" w:rsidRPr="00301207">
        <w:t xml:space="preserve"> </w:t>
      </w:r>
      <w:proofErr w:type="spellStart"/>
      <w:r w:rsidR="008E5922" w:rsidRPr="00301207">
        <w:rPr>
          <w:lang w:val="en-US"/>
        </w:rPr>
        <w:t>настройка</w:t>
      </w:r>
      <w:proofErr w:type="spellEnd"/>
      <w:r w:rsidR="008E5922" w:rsidRPr="00301207">
        <w:rPr>
          <w:lang w:val="en-US"/>
        </w:rPr>
        <w:t xml:space="preserve"> </w:t>
      </w:r>
      <w:proofErr w:type="spellStart"/>
      <w:r w:rsidR="008E5922" w:rsidRPr="00301207">
        <w:rPr>
          <w:lang w:val="en-US"/>
        </w:rPr>
        <w:t>на</w:t>
      </w:r>
      <w:proofErr w:type="spellEnd"/>
      <w:r w:rsidR="008E5922" w:rsidRPr="00301207">
        <w:rPr>
          <w:lang w:val="en-US"/>
        </w:rPr>
        <w:t xml:space="preserve"> </w:t>
      </w:r>
      <w:proofErr w:type="spellStart"/>
      <w:r w:rsidR="008E5922" w:rsidRPr="00301207">
        <w:rPr>
          <w:lang w:val="en-US"/>
        </w:rPr>
        <w:t>техническите</w:t>
      </w:r>
      <w:proofErr w:type="spellEnd"/>
      <w:r w:rsidR="008E5922" w:rsidRPr="00301207">
        <w:rPr>
          <w:lang w:val="en-US"/>
        </w:rPr>
        <w:t xml:space="preserve"> </w:t>
      </w:r>
      <w:proofErr w:type="spellStart"/>
      <w:r w:rsidR="008E5922" w:rsidRPr="00301207">
        <w:rPr>
          <w:lang w:val="en-US"/>
        </w:rPr>
        <w:t>оборудване</w:t>
      </w:r>
      <w:proofErr w:type="spellEnd"/>
      <w:r w:rsidR="008E5922" w:rsidRPr="00301207">
        <w:rPr>
          <w:lang w:val="en-US"/>
        </w:rPr>
        <w:t xml:space="preserve"> </w:t>
      </w:r>
      <w:proofErr w:type="spellStart"/>
      <w:r w:rsidR="008E5922" w:rsidRPr="00301207">
        <w:rPr>
          <w:lang w:val="en-US"/>
        </w:rPr>
        <w:t>на</w:t>
      </w:r>
      <w:proofErr w:type="spellEnd"/>
      <w:r w:rsidR="008E5922" w:rsidRPr="00301207">
        <w:rPr>
          <w:lang w:val="en-US"/>
        </w:rPr>
        <w:t xml:space="preserve"> </w:t>
      </w:r>
      <w:proofErr w:type="spellStart"/>
      <w:r w:rsidR="008E5922" w:rsidRPr="00301207">
        <w:rPr>
          <w:lang w:val="en-US"/>
        </w:rPr>
        <w:t>следната</w:t>
      </w:r>
      <w:proofErr w:type="spellEnd"/>
      <w:r w:rsidR="008E5922" w:rsidRPr="00301207">
        <w:rPr>
          <w:lang w:val="en-US"/>
        </w:rPr>
        <w:t xml:space="preserve"> </w:t>
      </w:r>
      <w:proofErr w:type="spellStart"/>
      <w:r w:rsidR="008E5922" w:rsidRPr="00301207">
        <w:rPr>
          <w:lang w:val="en-US"/>
        </w:rPr>
        <w:t>база</w:t>
      </w:r>
      <w:proofErr w:type="spellEnd"/>
      <w:r w:rsidR="008E5922" w:rsidRPr="00301207">
        <w:rPr>
          <w:lang w:val="en-US"/>
        </w:rPr>
        <w:t>:</w:t>
      </w:r>
    </w:p>
    <w:p w:rsidR="008E5922" w:rsidRPr="0099556C" w:rsidRDefault="008E5922" w:rsidP="00CD1BE0">
      <w:pPr>
        <w:pStyle w:val="Style39"/>
        <w:numPr>
          <w:ilvl w:val="1"/>
          <w:numId w:val="8"/>
        </w:numPr>
        <w:tabs>
          <w:tab w:val="left" w:pos="567"/>
        </w:tabs>
        <w:spacing w:before="5" w:line="360" w:lineRule="auto"/>
        <w:ind w:firstLine="207"/>
        <w:contextualSpacing/>
        <w:rPr>
          <w:lang w:val="en-US"/>
        </w:rPr>
      </w:pPr>
      <w:r w:rsidRPr="00301207">
        <w:t>цена за визита в работно време</w:t>
      </w:r>
      <w:r w:rsidR="00CD1BE0">
        <w:t xml:space="preserve"> </w:t>
      </w:r>
      <w:r w:rsidR="00CD1BE0" w:rsidRPr="00CD1BE0">
        <w:t xml:space="preserve">при извършване на диагностика и ремонт </w:t>
      </w:r>
      <w:r w:rsidR="00CD1BE0">
        <w:t>-</w:t>
      </w:r>
      <w:r w:rsidRPr="00301207">
        <w:t xml:space="preserve"> ………………… </w:t>
      </w:r>
      <w:r w:rsidRPr="0099556C">
        <w:t>лв. без ДДС;</w:t>
      </w:r>
    </w:p>
    <w:p w:rsidR="008E5922" w:rsidRPr="0099556C" w:rsidRDefault="008E5922" w:rsidP="00CD1BE0">
      <w:pPr>
        <w:pStyle w:val="Style39"/>
        <w:numPr>
          <w:ilvl w:val="1"/>
          <w:numId w:val="8"/>
        </w:numPr>
        <w:tabs>
          <w:tab w:val="left" w:pos="567"/>
        </w:tabs>
        <w:spacing w:before="5" w:line="360" w:lineRule="auto"/>
        <w:ind w:firstLine="207"/>
        <w:contextualSpacing/>
        <w:rPr>
          <w:lang w:val="en-US"/>
        </w:rPr>
      </w:pPr>
      <w:r w:rsidRPr="0099556C">
        <w:t xml:space="preserve">цена на един час вложен труд от </w:t>
      </w:r>
      <w:r w:rsidR="0099556C" w:rsidRPr="0099556C">
        <w:t xml:space="preserve">труд от </w:t>
      </w:r>
      <w:r w:rsidR="0099556C" w:rsidRPr="0099556C">
        <w:rPr>
          <w:bCs/>
        </w:rPr>
        <w:t>лице, сертифицирано от производителя на рентгеновите системи и метал-детекторните рамки или от оторизирано от него лице да изпълнява дейностите, предмет на поръчката</w:t>
      </w:r>
      <w:r w:rsidR="00A370D5" w:rsidRPr="0099556C">
        <w:t>,</w:t>
      </w:r>
      <w:r w:rsidR="0099556C" w:rsidRPr="0099556C">
        <w:rPr>
          <w:rFonts w:eastAsia="Times New Roman"/>
        </w:rPr>
        <w:t xml:space="preserve"> </w:t>
      </w:r>
      <w:r w:rsidR="0099556C" w:rsidRPr="0099556C">
        <w:t>при извършване на диагностика и ремонт</w:t>
      </w:r>
      <w:r w:rsidR="00A370D5" w:rsidRPr="0099556C">
        <w:rPr>
          <w:lang w:val="en-US"/>
        </w:rPr>
        <w:t xml:space="preserve"> </w:t>
      </w:r>
      <w:r w:rsidRPr="0099556C">
        <w:t>в размер …………….лв. без ДДС;</w:t>
      </w:r>
    </w:p>
    <w:p w:rsidR="008E5922" w:rsidRPr="00301207" w:rsidRDefault="008E5922" w:rsidP="00CD1BE0">
      <w:pPr>
        <w:pStyle w:val="Style39"/>
        <w:numPr>
          <w:ilvl w:val="1"/>
          <w:numId w:val="8"/>
        </w:numPr>
        <w:tabs>
          <w:tab w:val="left" w:pos="567"/>
        </w:tabs>
        <w:spacing w:before="5" w:line="360" w:lineRule="auto"/>
        <w:ind w:firstLine="207"/>
        <w:contextualSpacing/>
        <w:rPr>
          <w:lang w:val="en-US"/>
        </w:rPr>
      </w:pPr>
      <w:r w:rsidRPr="00301207">
        <w:t xml:space="preserve">часова ставка по т. </w:t>
      </w:r>
      <w:r w:rsidR="00CD1BE0">
        <w:t>3</w:t>
      </w:r>
      <w:r w:rsidR="00623891">
        <w:t>.</w:t>
      </w:r>
      <w:r w:rsidRPr="00301207">
        <w:t>2 при следните увеличения, съгласно действащото трудово законодателство:</w:t>
      </w:r>
    </w:p>
    <w:p w:rsidR="008E5922" w:rsidRPr="00301207" w:rsidRDefault="008E5922" w:rsidP="00CD1BE0">
      <w:pPr>
        <w:pStyle w:val="Style39"/>
        <w:numPr>
          <w:ilvl w:val="2"/>
          <w:numId w:val="8"/>
        </w:numPr>
        <w:tabs>
          <w:tab w:val="left" w:pos="993"/>
        </w:tabs>
        <w:spacing w:before="5" w:line="360" w:lineRule="auto"/>
        <w:ind w:firstLine="207"/>
        <w:contextualSpacing/>
        <w:rPr>
          <w:lang w:val="en-US"/>
        </w:rPr>
      </w:pPr>
      <w:r w:rsidRPr="00301207">
        <w:t>увеличение за труд в извънработно време - 50 % върху часовата ставка;</w:t>
      </w:r>
    </w:p>
    <w:p w:rsidR="008E5922" w:rsidRPr="00301207" w:rsidRDefault="008E5922" w:rsidP="00CD1BE0">
      <w:pPr>
        <w:pStyle w:val="Style39"/>
        <w:numPr>
          <w:ilvl w:val="2"/>
          <w:numId w:val="8"/>
        </w:numPr>
        <w:tabs>
          <w:tab w:val="left" w:pos="993"/>
        </w:tabs>
        <w:spacing w:before="5" w:line="360" w:lineRule="auto"/>
        <w:ind w:firstLine="207"/>
        <w:contextualSpacing/>
        <w:rPr>
          <w:lang w:val="en-US"/>
        </w:rPr>
      </w:pPr>
      <w:r w:rsidRPr="00301207">
        <w:t>увеличение за труд през почивни дни - 75 % върху часовата ставка;</w:t>
      </w:r>
    </w:p>
    <w:p w:rsidR="008E5922" w:rsidRDefault="008E5922" w:rsidP="00CD1BE0">
      <w:pPr>
        <w:pStyle w:val="Style39"/>
        <w:numPr>
          <w:ilvl w:val="2"/>
          <w:numId w:val="8"/>
        </w:numPr>
        <w:tabs>
          <w:tab w:val="left" w:pos="993"/>
        </w:tabs>
        <w:spacing w:before="5" w:line="360" w:lineRule="auto"/>
        <w:ind w:firstLine="207"/>
        <w:contextualSpacing/>
        <w:rPr>
          <w:lang w:val="en-US"/>
        </w:rPr>
      </w:pPr>
      <w:r w:rsidRPr="00301207">
        <w:t>увеличение за труд през празнични дни - 100 % върху часовата ставка.</w:t>
      </w:r>
    </w:p>
    <w:p w:rsidR="00B46379" w:rsidRPr="00B46379" w:rsidRDefault="00B46379" w:rsidP="00CD1BE0">
      <w:pPr>
        <w:pStyle w:val="Style39"/>
        <w:numPr>
          <w:ilvl w:val="1"/>
          <w:numId w:val="8"/>
        </w:numPr>
        <w:tabs>
          <w:tab w:val="left" w:pos="0"/>
        </w:tabs>
        <w:spacing w:before="5" w:line="360" w:lineRule="auto"/>
        <w:ind w:left="0" w:firstLine="207"/>
        <w:contextualSpacing/>
      </w:pPr>
      <w:r w:rsidRPr="00B46379">
        <w:t xml:space="preserve">цена за </w:t>
      </w:r>
      <w:proofErr w:type="spellStart"/>
      <w:r w:rsidRPr="00B46379">
        <w:t>дозиметричен</w:t>
      </w:r>
      <w:proofErr w:type="spellEnd"/>
      <w:r w:rsidRPr="00B46379">
        <w:t xml:space="preserve"> контрол, който се изпълнява след всеки ремонт</w:t>
      </w:r>
      <w:r>
        <w:t xml:space="preserve"> - ……………. лв. без ДДС</w:t>
      </w:r>
      <w:r>
        <w:rPr>
          <w:rStyle w:val="FootnoteReference"/>
        </w:rPr>
        <w:footnoteReference w:id="2"/>
      </w:r>
    </w:p>
    <w:p w:rsidR="00ED6CD6" w:rsidRPr="00301207" w:rsidRDefault="00ED6CD6" w:rsidP="00CD1BE0">
      <w:pPr>
        <w:pStyle w:val="Style39"/>
        <w:widowControl/>
        <w:numPr>
          <w:ilvl w:val="1"/>
          <w:numId w:val="13"/>
        </w:numPr>
        <w:tabs>
          <w:tab w:val="left" w:pos="993"/>
        </w:tabs>
        <w:spacing w:before="5" w:line="360" w:lineRule="auto"/>
        <w:ind w:left="0" w:firstLine="0"/>
        <w:contextualSpacing/>
        <w:rPr>
          <w:rStyle w:val="FontStyle57"/>
          <w:b w:val="0"/>
          <w:bCs w:val="0"/>
          <w:sz w:val="24"/>
          <w:szCs w:val="24"/>
        </w:rPr>
      </w:pPr>
      <w:r w:rsidRPr="00301207">
        <w:rPr>
          <w:rStyle w:val="FontStyle57"/>
          <w:sz w:val="24"/>
          <w:szCs w:val="24"/>
        </w:rPr>
        <w:t>Приемам(е) предложения начин на плащане, посочен в раздел I, т. 7 от документацията за участие, както следва:</w:t>
      </w:r>
    </w:p>
    <w:p w:rsidR="00CD1BE0" w:rsidRPr="00CD1BE0" w:rsidRDefault="00CD1BE0" w:rsidP="00CD1BE0">
      <w:pPr>
        <w:autoSpaceDE/>
        <w:autoSpaceDN/>
        <w:adjustRightInd/>
        <w:jc w:val="both"/>
        <w:rPr>
          <w:rFonts w:eastAsia="Times New Roman"/>
        </w:rPr>
      </w:pPr>
      <w:r w:rsidRPr="00CD1BE0">
        <w:rPr>
          <w:rFonts w:eastAsia="Times New Roman"/>
        </w:rPr>
        <w:t xml:space="preserve">Възнаграждението, което възложителят заплаща на изпълнителя за превантивното техническо обслужване (ПТО) и общ </w:t>
      </w:r>
      <w:proofErr w:type="spellStart"/>
      <w:r w:rsidRPr="00CD1BE0">
        <w:rPr>
          <w:rFonts w:eastAsia="Times New Roman"/>
        </w:rPr>
        <w:t>дозиметричен</w:t>
      </w:r>
      <w:proofErr w:type="spellEnd"/>
      <w:r w:rsidRPr="00CD1BE0">
        <w:rPr>
          <w:rFonts w:eastAsia="Times New Roman"/>
        </w:rPr>
        <w:t xml:space="preserve"> контрол (ОДК), се определя</w:t>
      </w:r>
      <w:r w:rsidRPr="00CD1BE0">
        <w:rPr>
          <w:rFonts w:eastAsia="Times New Roman"/>
          <w:lang w:val="en-US"/>
        </w:rPr>
        <w:t xml:space="preserve"> </w:t>
      </w:r>
      <w:r w:rsidRPr="00CD1BE0">
        <w:rPr>
          <w:rFonts w:eastAsia="Times New Roman"/>
        </w:rPr>
        <w:t>на база единични цени за:</w:t>
      </w:r>
    </w:p>
    <w:p w:rsidR="00CD1BE0" w:rsidRPr="00CD1BE0" w:rsidRDefault="00CD1BE0" w:rsidP="00CD1BE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60" w:lineRule="atLeast"/>
        <w:jc w:val="both"/>
        <w:rPr>
          <w:rFonts w:eastAsia="Times New Roman"/>
        </w:rPr>
      </w:pPr>
      <w:r w:rsidRPr="00CD1BE0">
        <w:rPr>
          <w:rFonts w:eastAsia="Times New Roman"/>
        </w:rPr>
        <w:t xml:space="preserve">Рентгенова система </w:t>
      </w:r>
      <w:r w:rsidRPr="00CD1BE0">
        <w:rPr>
          <w:rFonts w:eastAsia="Times New Roman"/>
          <w:lang w:val="en-US"/>
        </w:rPr>
        <w:t>Hi-Scan 6040A</w:t>
      </w:r>
      <w:r w:rsidRPr="00CD1BE0">
        <w:rPr>
          <w:rFonts w:eastAsia="Times New Roman"/>
        </w:rPr>
        <w:t>;</w:t>
      </w:r>
    </w:p>
    <w:p w:rsidR="00CD1BE0" w:rsidRPr="00CD1BE0" w:rsidRDefault="00CD1BE0" w:rsidP="00CD1BE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60" w:lineRule="atLeast"/>
        <w:jc w:val="both"/>
        <w:rPr>
          <w:rFonts w:eastAsia="Times New Roman"/>
        </w:rPr>
      </w:pPr>
      <w:r w:rsidRPr="00CD1BE0">
        <w:rPr>
          <w:rFonts w:eastAsia="Times New Roman"/>
        </w:rPr>
        <w:t>Рентгенова система</w:t>
      </w:r>
      <w:r w:rsidRPr="00CD1BE0">
        <w:rPr>
          <w:rFonts w:eastAsia="Times New Roman"/>
          <w:lang w:val="en-US"/>
        </w:rPr>
        <w:t xml:space="preserve"> Hi-Scan 6046si</w:t>
      </w:r>
      <w:r w:rsidRPr="00CD1BE0">
        <w:rPr>
          <w:rFonts w:eastAsia="Times New Roman"/>
        </w:rPr>
        <w:t>;</w:t>
      </w:r>
    </w:p>
    <w:p w:rsidR="00CD1BE0" w:rsidRPr="00CD1BE0" w:rsidRDefault="00CD1BE0" w:rsidP="00CD1BE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60" w:lineRule="atLeast"/>
        <w:jc w:val="both"/>
        <w:rPr>
          <w:rFonts w:eastAsia="Times New Roman"/>
        </w:rPr>
      </w:pPr>
      <w:r w:rsidRPr="00CD1BE0">
        <w:rPr>
          <w:rFonts w:eastAsia="Times New Roman"/>
        </w:rPr>
        <w:t>Рентгенова система</w:t>
      </w:r>
      <w:r w:rsidRPr="00CD1BE0">
        <w:rPr>
          <w:rFonts w:eastAsia="Times New Roman"/>
          <w:lang w:val="en-US"/>
        </w:rPr>
        <w:t xml:space="preserve"> Hi-Scan 7555si</w:t>
      </w:r>
      <w:r w:rsidRPr="00CD1BE0">
        <w:rPr>
          <w:rFonts w:eastAsia="Times New Roman"/>
        </w:rPr>
        <w:t>;</w:t>
      </w:r>
    </w:p>
    <w:p w:rsidR="00CD1BE0" w:rsidRPr="00CD1BE0" w:rsidRDefault="00CD1BE0" w:rsidP="00CD1BE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60" w:lineRule="atLeast"/>
        <w:jc w:val="both"/>
        <w:rPr>
          <w:rFonts w:eastAsia="Times New Roman"/>
        </w:rPr>
      </w:pPr>
      <w:r w:rsidRPr="00CD1BE0">
        <w:rPr>
          <w:rFonts w:eastAsia="Times New Roman"/>
        </w:rPr>
        <w:t>Метал-детекторна рамка</w:t>
      </w:r>
      <w:r w:rsidRPr="00CD1BE0">
        <w:rPr>
          <w:rFonts w:eastAsia="Times New Roman"/>
          <w:lang w:val="en-US"/>
        </w:rPr>
        <w:t xml:space="preserve"> Hi PE Multi Zone</w:t>
      </w:r>
      <w:r w:rsidRPr="00CD1BE0">
        <w:rPr>
          <w:rFonts w:eastAsia="Times New Roman"/>
        </w:rPr>
        <w:t>;</w:t>
      </w:r>
    </w:p>
    <w:p w:rsidR="00CD1BE0" w:rsidRPr="00CD1BE0" w:rsidRDefault="00CD1BE0" w:rsidP="00CD1BE0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spacing w:line="360" w:lineRule="atLeast"/>
        <w:jc w:val="both"/>
        <w:rPr>
          <w:rFonts w:eastAsia="Times New Roman"/>
        </w:rPr>
      </w:pPr>
      <w:r w:rsidRPr="00CD1BE0">
        <w:rPr>
          <w:rFonts w:eastAsia="Times New Roman"/>
        </w:rPr>
        <w:t>Метал-детекторна рамка</w:t>
      </w:r>
      <w:r w:rsidRPr="00CD1BE0">
        <w:rPr>
          <w:rFonts w:eastAsia="Times New Roman"/>
          <w:lang w:val="en-US"/>
        </w:rPr>
        <w:t xml:space="preserve"> PMD 2/PTZ</w:t>
      </w:r>
      <w:r w:rsidRPr="00CD1BE0">
        <w:rPr>
          <w:rFonts w:eastAsia="Times New Roman"/>
        </w:rPr>
        <w:t>.</w:t>
      </w:r>
    </w:p>
    <w:p w:rsidR="00CD1BE0" w:rsidRPr="00CD1BE0" w:rsidRDefault="00CD1BE0" w:rsidP="00CD1BE0">
      <w:pPr>
        <w:pStyle w:val="ListParagraph"/>
        <w:numPr>
          <w:ilvl w:val="1"/>
          <w:numId w:val="13"/>
        </w:numPr>
        <w:spacing w:after="100" w:afterAutospacing="1"/>
        <w:ind w:left="0" w:firstLine="0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bg-BG"/>
        </w:rPr>
      </w:pPr>
      <w:r w:rsidRPr="00CD1BE0">
        <w:rPr>
          <w:rFonts w:ascii="Times New Roman" w:hAnsi="Times New Roman" w:cs="Times New Roman"/>
          <w:bCs/>
          <w:color w:val="auto"/>
          <w:sz w:val="24"/>
          <w:szCs w:val="24"/>
          <w:lang w:eastAsia="bg-BG"/>
        </w:rPr>
        <w:t xml:space="preserve">В посочените единични цени по т. </w:t>
      </w:r>
      <w:r w:rsidR="002E1392">
        <w:rPr>
          <w:rFonts w:ascii="Times New Roman" w:hAnsi="Times New Roman" w:cs="Times New Roman"/>
          <w:bCs/>
          <w:color w:val="auto"/>
          <w:sz w:val="24"/>
          <w:szCs w:val="24"/>
          <w:lang w:eastAsia="bg-BG"/>
        </w:rPr>
        <w:t>4</w:t>
      </w:r>
      <w:r w:rsidRPr="00CD1BE0">
        <w:rPr>
          <w:rFonts w:ascii="Times New Roman" w:hAnsi="Times New Roman" w:cs="Times New Roman"/>
          <w:bCs/>
          <w:color w:val="auto"/>
          <w:sz w:val="24"/>
          <w:szCs w:val="24"/>
          <w:lang w:eastAsia="bg-BG"/>
        </w:rPr>
        <w:t>.</w:t>
      </w:r>
      <w:r w:rsidR="002E1392">
        <w:rPr>
          <w:rFonts w:ascii="Times New Roman" w:hAnsi="Times New Roman" w:cs="Times New Roman"/>
          <w:bCs/>
          <w:color w:val="auto"/>
          <w:sz w:val="24"/>
          <w:szCs w:val="24"/>
          <w:lang w:eastAsia="bg-BG"/>
        </w:rPr>
        <w:t>1</w:t>
      </w:r>
      <w:r w:rsidRPr="00CD1BE0">
        <w:rPr>
          <w:rFonts w:ascii="Times New Roman" w:hAnsi="Times New Roman" w:cs="Times New Roman"/>
          <w:bCs/>
          <w:color w:val="auto"/>
          <w:sz w:val="24"/>
          <w:szCs w:val="24"/>
          <w:lang w:eastAsia="bg-BG"/>
        </w:rPr>
        <w:t xml:space="preserve">. са включени всички разходи на ИЗПЪЛНИТЕЛЯ за изпълнение на услугите по превантивното техническо обслужване (ПТО) и общ </w:t>
      </w:r>
      <w:proofErr w:type="spellStart"/>
      <w:r w:rsidRPr="00CD1BE0">
        <w:rPr>
          <w:rFonts w:ascii="Times New Roman" w:hAnsi="Times New Roman" w:cs="Times New Roman"/>
          <w:bCs/>
          <w:color w:val="auto"/>
          <w:sz w:val="24"/>
          <w:szCs w:val="24"/>
          <w:lang w:eastAsia="bg-BG"/>
        </w:rPr>
        <w:t>дозиметричен</w:t>
      </w:r>
      <w:proofErr w:type="spellEnd"/>
      <w:r w:rsidRPr="00CD1BE0">
        <w:rPr>
          <w:rFonts w:ascii="Times New Roman" w:hAnsi="Times New Roman" w:cs="Times New Roman"/>
          <w:bCs/>
          <w:color w:val="auto"/>
          <w:sz w:val="24"/>
          <w:szCs w:val="24"/>
          <w:lang w:eastAsia="bg-BG"/>
        </w:rPr>
        <w:t xml:space="preserve"> контрол (ОДК), включително и разходите за сервизния екип, който ще изпълнява поръчката, и/или на членовете на ръководния състав, които ще отговарят за изпълнението [и за неговите подизпълнители] (ако е приложимо), като ВЪЗЛОЖИТЕЛЯТ не дължи заплащането на каквито и да е други разноски, направени от ИЗПЪЛНИТЕЛЯ.</w:t>
      </w:r>
    </w:p>
    <w:p w:rsidR="00CD1BE0" w:rsidRPr="00CD1BE0" w:rsidRDefault="00CD1BE0" w:rsidP="00CD1BE0">
      <w:pPr>
        <w:widowControl/>
        <w:numPr>
          <w:ilvl w:val="1"/>
          <w:numId w:val="13"/>
        </w:numPr>
        <w:autoSpaceDE/>
        <w:autoSpaceDN/>
        <w:adjustRightInd/>
        <w:spacing w:after="100" w:afterAutospacing="1" w:line="276" w:lineRule="auto"/>
        <w:ind w:left="0" w:firstLine="0"/>
        <w:contextualSpacing/>
        <w:jc w:val="both"/>
        <w:rPr>
          <w:rFonts w:eastAsia="Times New Roman"/>
        </w:rPr>
      </w:pPr>
      <w:r w:rsidRPr="00CD1BE0">
        <w:rPr>
          <w:rFonts w:eastAsia="Times New Roman"/>
        </w:rPr>
        <w:lastRenderedPageBreak/>
        <w:t>При необходимост след заявка от възложителя сервизен екип на изпълнителя осъществява диагностика и ремонт на техническите оборудване на следната база:</w:t>
      </w:r>
    </w:p>
    <w:p w:rsidR="00CD1BE0" w:rsidRPr="00CD1BE0" w:rsidRDefault="00CD1BE0" w:rsidP="00CD1BE0">
      <w:pPr>
        <w:widowControl/>
        <w:numPr>
          <w:ilvl w:val="2"/>
          <w:numId w:val="13"/>
        </w:numPr>
        <w:tabs>
          <w:tab w:val="left" w:pos="426"/>
        </w:tabs>
        <w:autoSpaceDE/>
        <w:autoSpaceDN/>
        <w:adjustRightInd/>
        <w:spacing w:line="360" w:lineRule="atLeast"/>
        <w:ind w:left="426" w:firstLine="0"/>
        <w:jc w:val="both"/>
        <w:rPr>
          <w:rFonts w:eastAsia="Times New Roman"/>
        </w:rPr>
      </w:pPr>
      <w:r w:rsidRPr="00CD1BE0">
        <w:rPr>
          <w:rFonts w:eastAsia="Times New Roman"/>
        </w:rPr>
        <w:t>цена за визита в работно време при извършване на диагностика и ремонт;</w:t>
      </w:r>
      <w:r w:rsidRPr="00CD1BE0">
        <w:rPr>
          <w:rFonts w:eastAsia="Times New Roman"/>
          <w:lang w:val="en-US"/>
        </w:rPr>
        <w:t xml:space="preserve"> </w:t>
      </w:r>
    </w:p>
    <w:p w:rsidR="00CD1BE0" w:rsidRPr="00CD1BE0" w:rsidRDefault="00CD1BE0" w:rsidP="00CD1BE0">
      <w:pPr>
        <w:widowControl/>
        <w:numPr>
          <w:ilvl w:val="2"/>
          <w:numId w:val="13"/>
        </w:numPr>
        <w:tabs>
          <w:tab w:val="left" w:pos="426"/>
        </w:tabs>
        <w:autoSpaceDE/>
        <w:autoSpaceDN/>
        <w:adjustRightInd/>
        <w:spacing w:line="360" w:lineRule="atLeast"/>
        <w:ind w:left="426" w:firstLine="0"/>
        <w:jc w:val="both"/>
        <w:rPr>
          <w:rFonts w:eastAsia="Times New Roman"/>
        </w:rPr>
      </w:pPr>
      <w:r w:rsidRPr="00CD1BE0">
        <w:rPr>
          <w:rFonts w:eastAsia="Times New Roman"/>
        </w:rPr>
        <w:t xml:space="preserve">цена на един час вложен труд от труд от </w:t>
      </w:r>
      <w:r w:rsidRPr="00CD1BE0">
        <w:rPr>
          <w:rFonts w:eastAsia="Times New Roman"/>
          <w:bCs/>
        </w:rPr>
        <w:t>лице, сертифицирано от производителя на рентгеновите системи и метал-детекторните рамки или от оторизирано от него лице да изпълнява дейностите по предмета на поръчката</w:t>
      </w:r>
      <w:r w:rsidRPr="00CD1BE0">
        <w:rPr>
          <w:rFonts w:eastAsia="Times New Roman"/>
        </w:rPr>
        <w:t>, при извършване на диагностика и ремонт;</w:t>
      </w:r>
    </w:p>
    <w:p w:rsidR="00CD1BE0" w:rsidRPr="00CD1BE0" w:rsidRDefault="00CD1BE0" w:rsidP="00CD1BE0">
      <w:pPr>
        <w:widowControl/>
        <w:numPr>
          <w:ilvl w:val="2"/>
          <w:numId w:val="13"/>
        </w:numPr>
        <w:tabs>
          <w:tab w:val="left" w:pos="426"/>
        </w:tabs>
        <w:autoSpaceDE/>
        <w:autoSpaceDN/>
        <w:adjustRightInd/>
        <w:spacing w:line="360" w:lineRule="atLeast"/>
        <w:ind w:left="426" w:firstLine="0"/>
        <w:jc w:val="both"/>
        <w:rPr>
          <w:rFonts w:eastAsia="Times New Roman"/>
        </w:rPr>
      </w:pPr>
      <w:r w:rsidRPr="00CD1BE0">
        <w:rPr>
          <w:rFonts w:eastAsia="Times New Roman"/>
        </w:rPr>
        <w:t xml:space="preserve">часова ставка по т. </w:t>
      </w:r>
      <w:r w:rsidR="002E1392">
        <w:rPr>
          <w:rFonts w:eastAsia="Times New Roman"/>
        </w:rPr>
        <w:t>4</w:t>
      </w:r>
      <w:bookmarkStart w:id="0" w:name="_GoBack"/>
      <w:bookmarkEnd w:id="0"/>
      <w:r w:rsidRPr="00CD1BE0">
        <w:rPr>
          <w:rFonts w:eastAsia="Times New Roman"/>
        </w:rPr>
        <w:t>.3.2 при следните увеличения, съгласно действащото трудово законодателство:</w:t>
      </w:r>
    </w:p>
    <w:p w:rsidR="00CD1BE0" w:rsidRPr="00CD1BE0" w:rsidRDefault="00CD1BE0" w:rsidP="00CD1BE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spacing w:line="360" w:lineRule="atLeast"/>
        <w:ind w:left="426" w:firstLine="567"/>
        <w:jc w:val="both"/>
        <w:rPr>
          <w:rFonts w:eastAsia="Times New Roman"/>
        </w:rPr>
      </w:pPr>
      <w:r w:rsidRPr="00CD1BE0">
        <w:rPr>
          <w:rFonts w:eastAsia="Times New Roman"/>
        </w:rPr>
        <w:t>увеличение за труд в извънработно време - 50 % върху часовата ставка;</w:t>
      </w:r>
    </w:p>
    <w:p w:rsidR="00CD1BE0" w:rsidRPr="00CD1BE0" w:rsidRDefault="00CD1BE0" w:rsidP="00CD1BE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spacing w:line="360" w:lineRule="atLeast"/>
        <w:ind w:left="426" w:firstLine="567"/>
        <w:jc w:val="both"/>
        <w:rPr>
          <w:rFonts w:eastAsia="Times New Roman"/>
        </w:rPr>
      </w:pPr>
      <w:r w:rsidRPr="00CD1BE0">
        <w:rPr>
          <w:rFonts w:eastAsia="Times New Roman"/>
        </w:rPr>
        <w:t>увеличение за труд през почивни дни - 75 % върху часовата ставка;</w:t>
      </w:r>
    </w:p>
    <w:p w:rsidR="00CD1BE0" w:rsidRPr="00CD1BE0" w:rsidRDefault="00CD1BE0" w:rsidP="00CD1BE0">
      <w:pPr>
        <w:widowControl/>
        <w:numPr>
          <w:ilvl w:val="0"/>
          <w:numId w:val="12"/>
        </w:numPr>
        <w:autoSpaceDE/>
        <w:autoSpaceDN/>
        <w:adjustRightInd/>
        <w:spacing w:after="100" w:afterAutospacing="1" w:line="276" w:lineRule="auto"/>
        <w:ind w:left="426" w:firstLine="567"/>
        <w:contextualSpacing/>
        <w:jc w:val="both"/>
        <w:rPr>
          <w:rFonts w:eastAsia="Times New Roman"/>
        </w:rPr>
      </w:pPr>
      <w:r w:rsidRPr="00CD1BE0">
        <w:rPr>
          <w:rFonts w:eastAsia="Times New Roman"/>
        </w:rPr>
        <w:t>увеличение за труд през празнични дни - 100 % върху часовата ставка.</w:t>
      </w:r>
    </w:p>
    <w:p w:rsidR="00CD1BE0" w:rsidRPr="00CD1BE0" w:rsidRDefault="00CD1BE0" w:rsidP="00CD1BE0">
      <w:pPr>
        <w:widowControl/>
        <w:numPr>
          <w:ilvl w:val="2"/>
          <w:numId w:val="13"/>
        </w:numPr>
        <w:autoSpaceDE/>
        <w:autoSpaceDN/>
        <w:adjustRightInd/>
        <w:spacing w:after="100" w:afterAutospacing="1" w:line="276" w:lineRule="auto"/>
        <w:ind w:left="426" w:firstLine="0"/>
        <w:contextualSpacing/>
        <w:jc w:val="both"/>
        <w:rPr>
          <w:rFonts w:eastAsia="Times New Roman"/>
        </w:rPr>
      </w:pPr>
      <w:r w:rsidRPr="00CD1BE0">
        <w:rPr>
          <w:rFonts w:eastAsia="Times New Roman"/>
        </w:rPr>
        <w:t xml:space="preserve">цена за </w:t>
      </w:r>
      <w:proofErr w:type="spellStart"/>
      <w:r w:rsidRPr="00CD1BE0">
        <w:rPr>
          <w:rFonts w:eastAsia="Times New Roman"/>
        </w:rPr>
        <w:t>дозиметричен</w:t>
      </w:r>
      <w:proofErr w:type="spellEnd"/>
      <w:r w:rsidRPr="00CD1BE0">
        <w:rPr>
          <w:rFonts w:eastAsia="Times New Roman"/>
        </w:rPr>
        <w:t xml:space="preserve"> контрол /</w:t>
      </w:r>
      <w:r w:rsidRPr="00CD1BE0">
        <w:rPr>
          <w:rFonts w:eastAsia="Times New Roman" w:hint="eastAsia"/>
        </w:rPr>
        <w:t>в</w:t>
      </w:r>
      <w:r w:rsidRPr="00CD1BE0">
        <w:rPr>
          <w:rFonts w:eastAsia="Times New Roman"/>
        </w:rPr>
        <w:t xml:space="preserve"> </w:t>
      </w:r>
      <w:r w:rsidRPr="00CD1BE0">
        <w:rPr>
          <w:rFonts w:eastAsia="Times New Roman" w:hint="eastAsia"/>
        </w:rPr>
        <w:t>лв</w:t>
      </w:r>
      <w:r w:rsidRPr="00CD1BE0">
        <w:rPr>
          <w:rFonts w:eastAsia="Times New Roman"/>
        </w:rPr>
        <w:t xml:space="preserve">. </w:t>
      </w:r>
      <w:r w:rsidRPr="00CD1BE0">
        <w:rPr>
          <w:rFonts w:eastAsia="Times New Roman" w:hint="eastAsia"/>
        </w:rPr>
        <w:t>без</w:t>
      </w:r>
      <w:r w:rsidRPr="00CD1BE0">
        <w:rPr>
          <w:rFonts w:eastAsia="Times New Roman"/>
        </w:rPr>
        <w:t xml:space="preserve"> </w:t>
      </w:r>
      <w:r w:rsidRPr="00CD1BE0">
        <w:rPr>
          <w:rFonts w:eastAsia="Times New Roman" w:hint="eastAsia"/>
        </w:rPr>
        <w:t>ДДС</w:t>
      </w:r>
      <w:r w:rsidRPr="00CD1BE0">
        <w:rPr>
          <w:rFonts w:eastAsia="Times New Roman"/>
        </w:rPr>
        <w:t>/, който се изпълнява след всеки ремонт.</w:t>
      </w:r>
    </w:p>
    <w:p w:rsidR="00CD1BE0" w:rsidRPr="00CD1BE0" w:rsidRDefault="00CD1BE0" w:rsidP="00CD1BE0">
      <w:pPr>
        <w:widowControl/>
        <w:autoSpaceDE/>
        <w:autoSpaceDN/>
        <w:adjustRightInd/>
        <w:spacing w:after="100" w:afterAutospacing="1" w:line="276" w:lineRule="auto"/>
        <w:ind w:firstLine="709"/>
        <w:contextualSpacing/>
        <w:jc w:val="both"/>
        <w:rPr>
          <w:rFonts w:eastAsia="Times New Roman"/>
        </w:rPr>
      </w:pPr>
      <w:r w:rsidRPr="00CD1BE0">
        <w:rPr>
          <w:rFonts w:eastAsia="Times New Roman"/>
        </w:rPr>
        <w:t>Вложените при ремонт на рентгеновите системи и метал-детекторни рамки нови оригинални резервни модули, платки, части и консумативи се заплащат в съответствие с цените на производителя по утвърдена от възложителя оферта.</w:t>
      </w:r>
      <w:r w:rsidRPr="00CD1BE0">
        <w:rPr>
          <w:rFonts w:eastAsia="Times New Roman"/>
          <w:lang w:eastAsia="en-US"/>
        </w:rPr>
        <w:t xml:space="preserve"> </w:t>
      </w:r>
      <w:r w:rsidRPr="00CD1BE0">
        <w:rPr>
          <w:rFonts w:eastAsia="Times New Roman"/>
        </w:rPr>
        <w:t>Разходите за транспорт и застраховка се фактурират съгласно реално платените разходи за спедитор и застраховател.</w:t>
      </w:r>
    </w:p>
    <w:p w:rsidR="00CD1BE0" w:rsidRPr="00CD1BE0" w:rsidRDefault="00CD1BE0" w:rsidP="00CD1BE0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ind w:firstLine="709"/>
        <w:contextualSpacing/>
        <w:jc w:val="both"/>
        <w:rPr>
          <w:rFonts w:eastAsia="Times New Roman"/>
          <w:lang w:eastAsia="en-US"/>
        </w:rPr>
      </w:pPr>
      <w:r w:rsidRPr="00CD1BE0">
        <w:rPr>
          <w:rFonts w:eastAsia="Times New Roman"/>
          <w:lang w:eastAsia="en-US"/>
        </w:rPr>
        <w:t>Плащането на възнаграждение от страна на възложителя за извършване на извънгаранционното сервизно обслужване и ремонт ще става по банков път в лева в срок до 10 (десет) дни след извършване на съответната услуга срещу предоставяне от Изпълнителя на Възложителя на следните документи:</w:t>
      </w:r>
    </w:p>
    <w:p w:rsidR="00CD1BE0" w:rsidRPr="00CD1BE0" w:rsidRDefault="00CD1BE0" w:rsidP="00CD1BE0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before="60" w:after="100" w:afterAutospacing="1" w:line="276" w:lineRule="auto"/>
        <w:ind w:firstLine="709"/>
        <w:contextualSpacing/>
        <w:jc w:val="both"/>
        <w:rPr>
          <w:rFonts w:eastAsia="Times New Roman"/>
          <w:lang w:eastAsia="en-US"/>
        </w:rPr>
      </w:pPr>
      <w:r w:rsidRPr="00CD1BE0">
        <w:rPr>
          <w:rFonts w:eastAsia="Times New Roman"/>
          <w:lang w:eastAsia="en-US"/>
        </w:rPr>
        <w:t>сервизен протокол;</w:t>
      </w:r>
    </w:p>
    <w:p w:rsidR="00CD1BE0" w:rsidRPr="00CD1BE0" w:rsidRDefault="00CD1BE0" w:rsidP="00CD1BE0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before="60" w:after="100" w:afterAutospacing="1" w:line="276" w:lineRule="auto"/>
        <w:ind w:firstLine="709"/>
        <w:contextualSpacing/>
        <w:jc w:val="both"/>
        <w:rPr>
          <w:rFonts w:eastAsia="Times New Roman"/>
          <w:lang w:eastAsia="en-US"/>
        </w:rPr>
      </w:pPr>
      <w:r w:rsidRPr="00CD1BE0">
        <w:rPr>
          <w:rFonts w:eastAsia="Times New Roman"/>
          <w:lang w:eastAsia="en-US"/>
        </w:rPr>
        <w:t>оригинална фактура;</w:t>
      </w:r>
    </w:p>
    <w:p w:rsidR="00CD1BE0" w:rsidRPr="00CD1BE0" w:rsidRDefault="00CD1BE0" w:rsidP="00CD1BE0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before="60" w:after="100" w:afterAutospacing="1" w:line="276" w:lineRule="auto"/>
        <w:ind w:firstLine="709"/>
        <w:contextualSpacing/>
        <w:jc w:val="both"/>
        <w:rPr>
          <w:rFonts w:eastAsia="Times New Roman"/>
          <w:lang w:eastAsia="en-US"/>
        </w:rPr>
      </w:pPr>
      <w:r w:rsidRPr="00CD1BE0">
        <w:rPr>
          <w:rFonts w:eastAsia="Times New Roman"/>
          <w:lang w:eastAsia="en-US"/>
        </w:rPr>
        <w:t>двустранно подписан приемателно-предавателен протокол за извършената работа.</w:t>
      </w:r>
    </w:p>
    <w:p w:rsidR="00ED6CD6" w:rsidRPr="00301207" w:rsidRDefault="00ED6CD6" w:rsidP="00ED6CD6">
      <w:pPr>
        <w:pStyle w:val="Style39"/>
        <w:widowControl/>
        <w:spacing w:before="211" w:line="240" w:lineRule="auto"/>
        <w:ind w:firstLine="638"/>
        <w:jc w:val="left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Приложения:</w:t>
      </w:r>
    </w:p>
    <w:p w:rsidR="00ED6CD6" w:rsidRPr="00301207" w:rsidRDefault="00ED6CD6" w:rsidP="00ED6CD6">
      <w:pPr>
        <w:pStyle w:val="Style36"/>
        <w:widowControl/>
        <w:tabs>
          <w:tab w:val="left" w:leader="dot" w:pos="2875"/>
        </w:tabs>
        <w:spacing w:before="101" w:line="240" w:lineRule="auto"/>
        <w:ind w:left="638" w:firstLine="0"/>
        <w:rPr>
          <w:rStyle w:val="FontStyle76"/>
          <w:sz w:val="24"/>
          <w:szCs w:val="24"/>
        </w:rPr>
      </w:pPr>
      <w:r w:rsidRPr="00301207">
        <w:rPr>
          <w:rStyle w:val="FontStyle76"/>
          <w:sz w:val="24"/>
          <w:szCs w:val="24"/>
        </w:rPr>
        <w:tab/>
        <w:t>(описват се</w:t>
      </w:r>
      <w:r w:rsidR="00223098">
        <w:rPr>
          <w:rStyle w:val="FontStyle76"/>
          <w:sz w:val="24"/>
          <w:szCs w:val="24"/>
        </w:rPr>
        <w:t>, ако има такива</w:t>
      </w:r>
      <w:r w:rsidRPr="00301207">
        <w:rPr>
          <w:rStyle w:val="FontStyle76"/>
          <w:sz w:val="24"/>
          <w:szCs w:val="24"/>
        </w:rPr>
        <w:t>)</w:t>
      </w:r>
    </w:p>
    <w:p w:rsidR="00ED6CD6" w:rsidRPr="00301207" w:rsidRDefault="00ED6CD6" w:rsidP="00ED6CD6">
      <w:pPr>
        <w:pStyle w:val="Style13"/>
        <w:widowControl/>
        <w:spacing w:line="240" w:lineRule="exact"/>
      </w:pPr>
    </w:p>
    <w:p w:rsidR="00ED6CD6" w:rsidRPr="00301207" w:rsidRDefault="00ED6CD6" w:rsidP="00ED6CD6">
      <w:pPr>
        <w:pStyle w:val="Style13"/>
        <w:widowControl/>
        <w:spacing w:line="240" w:lineRule="exact"/>
      </w:pPr>
    </w:p>
    <w:p w:rsidR="00ED6CD6" w:rsidRPr="00301207" w:rsidRDefault="00ED6CD6" w:rsidP="00ED6CD6">
      <w:pPr>
        <w:pStyle w:val="Style13"/>
        <w:widowControl/>
        <w:tabs>
          <w:tab w:val="left" w:leader="dot" w:pos="1699"/>
          <w:tab w:val="left" w:pos="4243"/>
        </w:tabs>
        <w:spacing w:before="178" w:line="240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  <w:t>2017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ED6CD6">
      <w:pPr>
        <w:pStyle w:val="Style13"/>
        <w:widowControl/>
        <w:spacing w:line="240" w:lineRule="exact"/>
        <w:ind w:left="5755"/>
      </w:pPr>
    </w:p>
    <w:p w:rsidR="00ED6CD6" w:rsidRPr="00301207" w:rsidRDefault="00ED6CD6" w:rsidP="00ED6CD6">
      <w:pPr>
        <w:pStyle w:val="Style13"/>
        <w:widowControl/>
        <w:tabs>
          <w:tab w:val="left" w:leader="dot" w:pos="7930"/>
        </w:tabs>
        <w:spacing w:before="53" w:line="240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ED6CD6">
      <w:pPr>
        <w:pStyle w:val="Style13"/>
        <w:widowControl/>
        <w:spacing w:before="19" w:line="240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(длъжност и име)</w:t>
      </w:r>
    </w:p>
    <w:p w:rsidR="00ED6CD6" w:rsidRPr="00301207" w:rsidRDefault="00ED6CD6" w:rsidP="00ED6CD6">
      <w:pPr>
        <w:pStyle w:val="Style13"/>
        <w:widowControl/>
        <w:spacing w:line="240" w:lineRule="exact"/>
        <w:ind w:left="5741"/>
      </w:pPr>
    </w:p>
    <w:p w:rsidR="00ED6CD6" w:rsidRPr="00301207" w:rsidRDefault="00ED6CD6" w:rsidP="00ED6CD6">
      <w:pPr>
        <w:pStyle w:val="Style13"/>
        <w:widowControl/>
        <w:tabs>
          <w:tab w:val="left" w:leader="dot" w:pos="7944"/>
        </w:tabs>
        <w:spacing w:before="67" w:line="240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ED6CD6">
      <w:pPr>
        <w:pStyle w:val="Style13"/>
        <w:widowControl/>
        <w:spacing w:before="10" w:line="240" w:lineRule="auto"/>
        <w:ind w:left="5986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(длъжност и име)</w:t>
      </w:r>
    </w:p>
    <w:p w:rsidR="00ED6CD6" w:rsidRPr="0041305D" w:rsidRDefault="00ED6CD6" w:rsidP="00ED6CD6">
      <w:pPr>
        <w:pStyle w:val="Style22"/>
        <w:widowControl/>
        <w:spacing w:line="240" w:lineRule="exact"/>
      </w:pPr>
    </w:p>
    <w:p w:rsidR="00ED6CD6" w:rsidRPr="00BA7D8D" w:rsidRDefault="00ED6CD6" w:rsidP="00ED6CD6">
      <w:pPr>
        <w:pStyle w:val="Style22"/>
        <w:widowControl/>
        <w:spacing w:before="139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8E5922">
      <w:pPr>
        <w:pStyle w:val="Style17"/>
        <w:widowControl/>
        <w:spacing w:line="240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8E5922">
      <w:pPr>
        <w:pStyle w:val="Style17"/>
        <w:widowControl/>
        <w:spacing w:line="240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8E5922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CD1BE0">
      <w:headerReference w:type="even" r:id="rId9"/>
      <w:footerReference w:type="even" r:id="rId10"/>
      <w:footerReference w:type="default" r:id="rId11"/>
      <w:pgSz w:w="11905" w:h="16837"/>
      <w:pgMar w:top="1021" w:right="1021" w:bottom="1021" w:left="102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FA" w:rsidRDefault="004D51FA" w:rsidP="003A1A66">
      <w:r>
        <w:separator/>
      </w:r>
    </w:p>
  </w:endnote>
  <w:endnote w:type="continuationSeparator" w:id="0">
    <w:p w:rsidR="004D51FA" w:rsidRDefault="004D51FA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2E1392">
      <w:rPr>
        <w:rStyle w:val="FontStyle73"/>
        <w:noProof/>
      </w:rPr>
      <w:t>3</w:t>
    </w:r>
    <w:r>
      <w:rPr>
        <w:rStyle w:val="FontStyle7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FA" w:rsidRDefault="004D51FA" w:rsidP="003A1A66">
      <w:r>
        <w:separator/>
      </w:r>
    </w:p>
  </w:footnote>
  <w:footnote w:type="continuationSeparator" w:id="0">
    <w:p w:rsidR="004D51FA" w:rsidRDefault="004D51FA" w:rsidP="003A1A66">
      <w:r>
        <w:continuationSeparator/>
      </w:r>
    </w:p>
  </w:footnote>
  <w:footnote w:id="1">
    <w:p w:rsidR="00623891" w:rsidRDefault="00623891">
      <w:pPr>
        <w:pStyle w:val="FootnoteText"/>
      </w:pPr>
      <w:r>
        <w:rPr>
          <w:rStyle w:val="FootnoteReference"/>
        </w:rPr>
        <w:footnoteRef/>
      </w:r>
      <w:r>
        <w:t xml:space="preserve"> Общата сума не може да надвишава 16 900 лв. без ДДС</w:t>
      </w:r>
    </w:p>
  </w:footnote>
  <w:footnote w:id="2">
    <w:p w:rsidR="00B46379" w:rsidRDefault="00B463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6379">
        <w:t>Посочената цена не подлежи на оценка и може да бъде в размер на 0,00 лв.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4D51F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5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9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20EDC"/>
    <w:rsid w:val="00030342"/>
    <w:rsid w:val="000B157B"/>
    <w:rsid w:val="000C785C"/>
    <w:rsid w:val="000D2C96"/>
    <w:rsid w:val="001704B3"/>
    <w:rsid w:val="0020105D"/>
    <w:rsid w:val="00223098"/>
    <w:rsid w:val="00255FAD"/>
    <w:rsid w:val="0027073F"/>
    <w:rsid w:val="002A2B94"/>
    <w:rsid w:val="002E1392"/>
    <w:rsid w:val="002E757A"/>
    <w:rsid w:val="00301207"/>
    <w:rsid w:val="00382E0A"/>
    <w:rsid w:val="003A1A66"/>
    <w:rsid w:val="0041305D"/>
    <w:rsid w:val="0042423D"/>
    <w:rsid w:val="004808DB"/>
    <w:rsid w:val="00483DE1"/>
    <w:rsid w:val="004D51FA"/>
    <w:rsid w:val="00567982"/>
    <w:rsid w:val="005A2DC0"/>
    <w:rsid w:val="005A5DE2"/>
    <w:rsid w:val="00623891"/>
    <w:rsid w:val="0067117E"/>
    <w:rsid w:val="006766FE"/>
    <w:rsid w:val="006A5D89"/>
    <w:rsid w:val="007012DD"/>
    <w:rsid w:val="00774D58"/>
    <w:rsid w:val="007E1A7F"/>
    <w:rsid w:val="007F6F77"/>
    <w:rsid w:val="008362C5"/>
    <w:rsid w:val="008668B2"/>
    <w:rsid w:val="008926CA"/>
    <w:rsid w:val="008E5922"/>
    <w:rsid w:val="008F3A3E"/>
    <w:rsid w:val="00936B01"/>
    <w:rsid w:val="0099556C"/>
    <w:rsid w:val="00996355"/>
    <w:rsid w:val="009C14FE"/>
    <w:rsid w:val="009C486A"/>
    <w:rsid w:val="00A370D5"/>
    <w:rsid w:val="00A53C02"/>
    <w:rsid w:val="00A67C17"/>
    <w:rsid w:val="00AA7879"/>
    <w:rsid w:val="00B27D15"/>
    <w:rsid w:val="00B46379"/>
    <w:rsid w:val="00B515FC"/>
    <w:rsid w:val="00B620A8"/>
    <w:rsid w:val="00B863CB"/>
    <w:rsid w:val="00B93F22"/>
    <w:rsid w:val="00BA714B"/>
    <w:rsid w:val="00BD18BB"/>
    <w:rsid w:val="00BD201F"/>
    <w:rsid w:val="00C754E9"/>
    <w:rsid w:val="00C97628"/>
    <w:rsid w:val="00CA0A49"/>
    <w:rsid w:val="00CD1BE0"/>
    <w:rsid w:val="00D24FC6"/>
    <w:rsid w:val="00D340F2"/>
    <w:rsid w:val="00D956C1"/>
    <w:rsid w:val="00DB2B59"/>
    <w:rsid w:val="00E15968"/>
    <w:rsid w:val="00E24AB5"/>
    <w:rsid w:val="00E32899"/>
    <w:rsid w:val="00E77EC8"/>
    <w:rsid w:val="00ED6CD6"/>
    <w:rsid w:val="00EF567B"/>
    <w:rsid w:val="00EF7337"/>
    <w:rsid w:val="00F25258"/>
    <w:rsid w:val="00F43C9F"/>
    <w:rsid w:val="00F477B4"/>
    <w:rsid w:val="00FB000E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1E5D-1628-4AC7-B433-E1E27907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Irena Georgieva</cp:lastModifiedBy>
  <cp:revision>16</cp:revision>
  <cp:lastPrinted>2017-12-01T08:43:00Z</cp:lastPrinted>
  <dcterms:created xsi:type="dcterms:W3CDTF">2017-10-18T07:59:00Z</dcterms:created>
  <dcterms:modified xsi:type="dcterms:W3CDTF">2017-12-01T12:08:00Z</dcterms:modified>
</cp:coreProperties>
</file>